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8C69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恒泰长财证券有限责任公司股权结构及质押情况</w:t>
      </w:r>
    </w:p>
    <w:p w14:paraId="6986DA67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5</w:t>
      </w:r>
      <w:r>
        <w:rPr>
          <w:rFonts w:ascii="宋体" w:hAnsi="宋体" w:eastAsia="宋体"/>
          <w:b/>
          <w:bCs/>
          <w:sz w:val="28"/>
          <w:szCs w:val="28"/>
        </w:rPr>
        <w:t>.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.</w:t>
      </w:r>
      <w:r>
        <w:rPr>
          <w:rFonts w:hint="eastAsia" w:ascii="宋体" w:hAnsi="宋体" w:eastAsia="宋体"/>
          <w:b/>
          <w:bCs/>
          <w:sz w:val="28"/>
          <w:szCs w:val="28"/>
        </w:rPr>
        <w:t>14）</w:t>
      </w:r>
    </w:p>
    <w:p w14:paraId="097242EC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一、股权结构图</w:t>
      </w:r>
    </w:p>
    <w:p w14:paraId="24EC007D"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145415</wp:posOffset>
                </wp:positionV>
                <wp:extent cx="1936750" cy="289560"/>
                <wp:effectExtent l="4445" t="5080" r="2095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9FF906"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</w:rPr>
                              <w:t>恒泰长财证券有限责任公司</w:t>
                            </w:r>
                          </w:p>
                          <w:p w14:paraId="3B21346B"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95pt;margin-top:11.45pt;height:22.8pt;width:152.5pt;z-index:251659264;mso-width-relative:page;mso-height-relative:page;" fillcolor="#FFFFFF" filled="t" stroked="t" coordsize="21600,21600" o:gfxdata="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aenMdcAAAAJAQAADwAAAAAAAAABACAAAAAiAAAAZHJzL2Rv&#10;d25yZXYueG1sUEsBAhQAFAAAAAgAh07iQOhYtLUCAgAAK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9FF906"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</w:rPr>
                        <w:t>恒泰长财证券有限责任公司</w:t>
                      </w:r>
                    </w:p>
                    <w:p w14:paraId="3B21346B"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DB7C87"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114300</wp:posOffset>
                </wp:positionV>
                <wp:extent cx="5080" cy="476250"/>
                <wp:effectExtent l="48260" t="0" r="6096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pt;margin-top:9pt;height:37.5pt;width:0.4pt;z-index:-251655168;mso-width-relative:page;mso-height-relative:page;" filled="f" stroked="t" coordsize="21600,21600" o:gfxdata="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MLI1nWAAAACQEAAA8AAAAAAAAAAQAgAAAAIgAAAGRycy9kb3ducmV2&#10;LnhtbFBLAQIUABQAAAAIAIdO4kBB9/rj/gEAAOUDAAAOAAAAAAAAAAEAIAAAACU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5B44F499">
      <w:pPr>
        <w:jc w:val="center"/>
        <w:rPr>
          <w:rFonts w:hint="eastAsia"/>
        </w:rPr>
      </w:pPr>
    </w:p>
    <w:p w14:paraId="7F687C34"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78105</wp:posOffset>
                </wp:positionV>
                <wp:extent cx="1911350" cy="380365"/>
                <wp:effectExtent l="5080" t="4445" r="762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938FAC"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</w:rPr>
                              <w:t>恒泰证券股份有限公司</w:t>
                            </w:r>
                          </w:p>
                          <w:p w14:paraId="43FBAB13"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Cs w:val="21"/>
                              </w:rPr>
                              <w:t>100%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4pt;margin-top:6.15pt;height:29.95pt;width:150.5pt;z-index:251660288;mso-width-relative:page;mso-height-relative:page;" fillcolor="#FFFFFF" filled="t" stroked="t" coordsize="21600,21600" o:gfxdata="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1wsF1wAAAAkBAAAPAAAAAAAAAAEAIAAAACIAAABkcnMvZG93&#10;bnJldi54bWxQSwECFAAUAAAACACHTuJAV4G55wECAAAp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938FAC"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</w:rPr>
                        <w:t>恒泰证券股份有限公司</w:t>
                      </w:r>
                    </w:p>
                    <w:p w14:paraId="43FBAB13">
                      <w:pPr>
                        <w:spacing w:line="2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Cs w:val="21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</w:p>
    <w:p w14:paraId="6671C2EF">
      <w:pPr>
        <w:jc w:val="center"/>
        <w:rPr>
          <w:rFonts w:hint="eastAsia"/>
        </w:rPr>
      </w:pPr>
    </w:p>
    <w:p w14:paraId="35504855">
      <w:pPr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69215</wp:posOffset>
            </wp:positionV>
            <wp:extent cx="5456555" cy="5789295"/>
            <wp:effectExtent l="0" t="0" r="10795" b="1905"/>
            <wp:wrapNone/>
            <wp:docPr id="4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4"/>
                    <a:srcRect t="12750" b="5232"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3A1DE">
      <w:pPr>
        <w:jc w:val="center"/>
        <w:rPr>
          <w:rFonts w:hint="eastAsia"/>
        </w:rPr>
      </w:pPr>
    </w:p>
    <w:p w14:paraId="1495BC4F">
      <w:pPr>
        <w:jc w:val="center"/>
        <w:rPr>
          <w:rFonts w:hint="eastAsia"/>
        </w:rPr>
      </w:pPr>
    </w:p>
    <w:p w14:paraId="4F65E370">
      <w:pPr>
        <w:jc w:val="center"/>
        <w:rPr>
          <w:rFonts w:hint="eastAsia"/>
        </w:rPr>
      </w:pPr>
    </w:p>
    <w:p w14:paraId="12D31722">
      <w:pPr>
        <w:jc w:val="center"/>
        <w:rPr>
          <w:rFonts w:hint="eastAsia"/>
        </w:rPr>
      </w:pPr>
    </w:p>
    <w:p w14:paraId="472B25DA">
      <w:pPr>
        <w:jc w:val="center"/>
        <w:rPr>
          <w:rFonts w:hint="eastAsia"/>
        </w:rPr>
      </w:pPr>
    </w:p>
    <w:p w14:paraId="5D58065E">
      <w:pPr>
        <w:jc w:val="center"/>
        <w:rPr>
          <w:rFonts w:hint="eastAsia"/>
        </w:rPr>
      </w:pPr>
    </w:p>
    <w:p w14:paraId="14F92CC0">
      <w:pPr>
        <w:jc w:val="center"/>
        <w:rPr>
          <w:rFonts w:hint="eastAsia"/>
        </w:rPr>
      </w:pPr>
    </w:p>
    <w:p w14:paraId="36368B1B">
      <w:pPr>
        <w:jc w:val="center"/>
        <w:rPr>
          <w:rFonts w:hint="eastAsia"/>
        </w:rPr>
      </w:pPr>
    </w:p>
    <w:p w14:paraId="65835DFA">
      <w:pPr>
        <w:jc w:val="center"/>
        <w:rPr>
          <w:rFonts w:hint="eastAsia"/>
        </w:rPr>
      </w:pPr>
    </w:p>
    <w:p w14:paraId="7BB9317C">
      <w:pPr>
        <w:jc w:val="center"/>
        <w:rPr>
          <w:rFonts w:hint="eastAsia"/>
        </w:rPr>
      </w:pPr>
    </w:p>
    <w:p w14:paraId="0AAC50F2">
      <w:pPr>
        <w:jc w:val="center"/>
        <w:rPr>
          <w:rFonts w:hint="eastAsia"/>
        </w:rPr>
      </w:pPr>
    </w:p>
    <w:p w14:paraId="0FAA00CD">
      <w:pPr>
        <w:jc w:val="center"/>
        <w:rPr>
          <w:rFonts w:hint="eastAsia"/>
        </w:rPr>
      </w:pPr>
    </w:p>
    <w:p w14:paraId="07ED6462">
      <w:pPr>
        <w:jc w:val="center"/>
        <w:rPr>
          <w:rFonts w:hint="eastAsia"/>
        </w:rPr>
      </w:pPr>
    </w:p>
    <w:p w14:paraId="3930C803">
      <w:pPr>
        <w:jc w:val="center"/>
        <w:rPr>
          <w:rFonts w:hint="eastAsia"/>
        </w:rPr>
      </w:pPr>
    </w:p>
    <w:p w14:paraId="1F75EEB6">
      <w:pPr>
        <w:jc w:val="center"/>
        <w:rPr>
          <w:rFonts w:hint="eastAsia"/>
        </w:rPr>
      </w:pPr>
    </w:p>
    <w:p w14:paraId="0A538ADF">
      <w:pPr>
        <w:jc w:val="center"/>
        <w:rPr>
          <w:rFonts w:hint="eastAsia"/>
        </w:rPr>
      </w:pPr>
    </w:p>
    <w:p w14:paraId="42033CD1">
      <w:pPr>
        <w:jc w:val="center"/>
        <w:rPr>
          <w:rFonts w:hint="eastAsia"/>
        </w:rPr>
      </w:pPr>
    </w:p>
    <w:p w14:paraId="1140F36C">
      <w:pPr>
        <w:jc w:val="center"/>
        <w:rPr>
          <w:rFonts w:hint="eastAsia"/>
        </w:rPr>
      </w:pPr>
    </w:p>
    <w:p w14:paraId="03C73361">
      <w:pPr>
        <w:jc w:val="center"/>
        <w:rPr>
          <w:rFonts w:hint="eastAsia"/>
        </w:rPr>
      </w:pPr>
    </w:p>
    <w:p w14:paraId="0C0ACC1C">
      <w:pPr>
        <w:jc w:val="center"/>
        <w:rPr>
          <w:rFonts w:hint="eastAsia"/>
        </w:rPr>
      </w:pPr>
    </w:p>
    <w:p w14:paraId="154506AC">
      <w:pPr>
        <w:jc w:val="center"/>
        <w:rPr>
          <w:rFonts w:hint="eastAsia"/>
        </w:rPr>
      </w:pPr>
    </w:p>
    <w:p w14:paraId="141DA651">
      <w:pPr>
        <w:jc w:val="center"/>
        <w:rPr>
          <w:rFonts w:hint="eastAsia"/>
        </w:rPr>
      </w:pPr>
    </w:p>
    <w:p w14:paraId="50821CE2">
      <w:pPr>
        <w:jc w:val="center"/>
        <w:rPr>
          <w:rFonts w:hint="eastAsia"/>
        </w:rPr>
      </w:pPr>
    </w:p>
    <w:p w14:paraId="2A9AF16E">
      <w:pPr>
        <w:jc w:val="center"/>
        <w:rPr>
          <w:rFonts w:hint="eastAsia"/>
        </w:rPr>
      </w:pPr>
    </w:p>
    <w:p w14:paraId="152CCEF2">
      <w:pPr>
        <w:jc w:val="center"/>
        <w:rPr>
          <w:rFonts w:hint="eastAsia"/>
        </w:rPr>
      </w:pPr>
    </w:p>
    <w:p w14:paraId="730BE66A">
      <w:pPr>
        <w:jc w:val="center"/>
        <w:rPr>
          <w:rFonts w:hint="eastAsia"/>
        </w:rPr>
      </w:pPr>
    </w:p>
    <w:p w14:paraId="2A935BCF">
      <w:pPr>
        <w:jc w:val="center"/>
        <w:rPr>
          <w:rFonts w:hint="eastAsia"/>
        </w:rPr>
      </w:pPr>
    </w:p>
    <w:p w14:paraId="7235CBDE">
      <w:pPr>
        <w:jc w:val="center"/>
        <w:rPr>
          <w:rFonts w:hint="eastAsia"/>
        </w:rPr>
      </w:pPr>
    </w:p>
    <w:p w14:paraId="14DB0248">
      <w:pPr>
        <w:jc w:val="center"/>
        <w:rPr>
          <w:rFonts w:hint="eastAsia"/>
        </w:rPr>
      </w:pPr>
    </w:p>
    <w:p w14:paraId="30F336BC"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备注</w:t>
      </w:r>
      <w:r>
        <w:rPr>
          <w:rFonts w:hint="eastAsia" w:ascii="宋体" w:hAnsi="宋体" w:cs="宋体"/>
          <w:sz w:val="18"/>
          <w:szCs w:val="18"/>
        </w:rPr>
        <w:t>:</w:t>
      </w:r>
    </w:p>
    <w:p w14:paraId="7D879512">
      <w:pPr>
        <w:pStyle w:val="5"/>
        <w:widowControl/>
        <w:numPr>
          <w:ilvl w:val="0"/>
          <w:numId w:val="1"/>
        </w:numPr>
        <w:spacing w:before="0" w:beforeAutospacing="0" w:after="0" w:afterAutospacing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恒泰证券股份有限公司股权披露至持有其股份5%以上股东。</w:t>
      </w:r>
    </w:p>
    <w:p w14:paraId="7C502C88"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br w:type="page"/>
      </w:r>
    </w:p>
    <w:p w14:paraId="798AB78C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二、股东及股份质押情况</w:t>
      </w:r>
    </w:p>
    <w:p w14:paraId="631D4F37">
      <w:pPr>
        <w:pStyle w:val="5"/>
        <w:widowControl/>
        <w:spacing w:before="0" w:beforeAutospacing="0" w:after="0" w:afterAutospacing="0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8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59"/>
        <w:gridCol w:w="1720"/>
        <w:gridCol w:w="1024"/>
        <w:gridCol w:w="1418"/>
        <w:gridCol w:w="992"/>
        <w:gridCol w:w="1276"/>
        <w:gridCol w:w="1134"/>
      </w:tblGrid>
      <w:tr w14:paraId="4A19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62" w:type="dxa"/>
            <w:vAlign w:val="center"/>
          </w:tcPr>
          <w:p w14:paraId="7622B063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2259" w:type="dxa"/>
            <w:vAlign w:val="center"/>
          </w:tcPr>
          <w:p w14:paraId="2BD5CE39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股东名称</w:t>
            </w:r>
          </w:p>
        </w:tc>
        <w:tc>
          <w:tcPr>
            <w:tcW w:w="1720" w:type="dxa"/>
            <w:vAlign w:val="center"/>
          </w:tcPr>
          <w:p w14:paraId="445533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持股数量</w:t>
            </w:r>
          </w:p>
          <w:p w14:paraId="13A5AAB1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（万股）</w:t>
            </w:r>
          </w:p>
        </w:tc>
        <w:tc>
          <w:tcPr>
            <w:tcW w:w="1024" w:type="dxa"/>
            <w:vAlign w:val="center"/>
          </w:tcPr>
          <w:p w14:paraId="5591FF1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持股比例</w:t>
            </w:r>
          </w:p>
          <w:p w14:paraId="5CF34D46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（%）</w:t>
            </w:r>
          </w:p>
        </w:tc>
        <w:tc>
          <w:tcPr>
            <w:tcW w:w="1418" w:type="dxa"/>
            <w:vAlign w:val="center"/>
          </w:tcPr>
          <w:p w14:paraId="7CE85A4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质押股份数量</w:t>
            </w:r>
          </w:p>
          <w:p w14:paraId="78DD6768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（万股）</w:t>
            </w:r>
          </w:p>
        </w:tc>
        <w:tc>
          <w:tcPr>
            <w:tcW w:w="992" w:type="dxa"/>
            <w:vAlign w:val="center"/>
          </w:tcPr>
          <w:p w14:paraId="60D4F166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质押比例（%）</w:t>
            </w:r>
          </w:p>
        </w:tc>
        <w:tc>
          <w:tcPr>
            <w:tcW w:w="1276" w:type="dxa"/>
            <w:vAlign w:val="center"/>
          </w:tcPr>
          <w:p w14:paraId="643DB0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司法冻结股份数量</w:t>
            </w:r>
          </w:p>
          <w:p w14:paraId="2D9D3559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（万股）</w:t>
            </w:r>
          </w:p>
        </w:tc>
        <w:tc>
          <w:tcPr>
            <w:tcW w:w="1134" w:type="dxa"/>
            <w:vAlign w:val="center"/>
          </w:tcPr>
          <w:p w14:paraId="031460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股份司法冻结比例</w:t>
            </w:r>
          </w:p>
          <w:p w14:paraId="3FBCD3E2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（%）</w:t>
            </w:r>
          </w:p>
        </w:tc>
      </w:tr>
      <w:tr w14:paraId="2327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Align w:val="center"/>
          </w:tcPr>
          <w:p w14:paraId="4BE31AA3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2259" w:type="dxa"/>
            <w:vAlign w:val="center"/>
          </w:tcPr>
          <w:p w14:paraId="6281BE86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恒泰证券股份有限公司</w:t>
            </w:r>
          </w:p>
        </w:tc>
        <w:tc>
          <w:tcPr>
            <w:tcW w:w="1720" w:type="dxa"/>
            <w:vAlign w:val="center"/>
          </w:tcPr>
          <w:p w14:paraId="2676F652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20000</w:t>
            </w:r>
          </w:p>
        </w:tc>
        <w:tc>
          <w:tcPr>
            <w:tcW w:w="1024" w:type="dxa"/>
            <w:vAlign w:val="center"/>
          </w:tcPr>
          <w:p w14:paraId="3CD460E3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3A95A7AD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10000</w:t>
            </w:r>
          </w:p>
        </w:tc>
        <w:tc>
          <w:tcPr>
            <w:tcW w:w="992" w:type="dxa"/>
            <w:vAlign w:val="center"/>
          </w:tcPr>
          <w:p w14:paraId="1A4E6F11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4E07A323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60A45E4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</w:tr>
    </w:tbl>
    <w:p w14:paraId="35500993">
      <w:pPr>
        <w:pStyle w:val="5"/>
        <w:widowControl/>
        <w:spacing w:before="0" w:beforeAutospacing="0" w:after="0" w:afterAutospacing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B2275"/>
    <w:multiLevelType w:val="multilevel"/>
    <w:tmpl w:val="4D3B22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NTM4OTMxMzQ2ODMzZWIxODBjN2EyY2YxNTc3NWQifQ=="/>
  </w:docVars>
  <w:rsids>
    <w:rsidRoot w:val="00B7241D"/>
    <w:rsid w:val="00026385"/>
    <w:rsid w:val="000E710C"/>
    <w:rsid w:val="00104A0F"/>
    <w:rsid w:val="001E088B"/>
    <w:rsid w:val="00217CF4"/>
    <w:rsid w:val="003126DF"/>
    <w:rsid w:val="004048B3"/>
    <w:rsid w:val="004108E6"/>
    <w:rsid w:val="00454028"/>
    <w:rsid w:val="004878F1"/>
    <w:rsid w:val="005179BD"/>
    <w:rsid w:val="00540F33"/>
    <w:rsid w:val="00543A2C"/>
    <w:rsid w:val="00602768"/>
    <w:rsid w:val="00620FD0"/>
    <w:rsid w:val="00696F18"/>
    <w:rsid w:val="006C58E1"/>
    <w:rsid w:val="006D70E2"/>
    <w:rsid w:val="007C51EA"/>
    <w:rsid w:val="007E787B"/>
    <w:rsid w:val="00812FA5"/>
    <w:rsid w:val="00817C42"/>
    <w:rsid w:val="00832486"/>
    <w:rsid w:val="0092358C"/>
    <w:rsid w:val="009A29AE"/>
    <w:rsid w:val="00A05827"/>
    <w:rsid w:val="00A10A7D"/>
    <w:rsid w:val="00A62E10"/>
    <w:rsid w:val="00A6762A"/>
    <w:rsid w:val="00A76723"/>
    <w:rsid w:val="00B44EA4"/>
    <w:rsid w:val="00B7241D"/>
    <w:rsid w:val="00C55B5E"/>
    <w:rsid w:val="00C921C6"/>
    <w:rsid w:val="00D27701"/>
    <w:rsid w:val="00E05CF5"/>
    <w:rsid w:val="00E32B1B"/>
    <w:rsid w:val="00E57C98"/>
    <w:rsid w:val="00EC0A58"/>
    <w:rsid w:val="00EC7500"/>
    <w:rsid w:val="00EF76E4"/>
    <w:rsid w:val="00FB0D03"/>
    <w:rsid w:val="075E79A7"/>
    <w:rsid w:val="1A001BBB"/>
    <w:rsid w:val="25496EE6"/>
    <w:rsid w:val="2FF66D27"/>
    <w:rsid w:val="32DA017D"/>
    <w:rsid w:val="3A1243AB"/>
    <w:rsid w:val="42EF043D"/>
    <w:rsid w:val="529716D4"/>
    <w:rsid w:val="56AA0023"/>
    <w:rsid w:val="7CA96B63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206</Characters>
  <Lines>1</Lines>
  <Paragraphs>1</Paragraphs>
  <TotalTime>40</TotalTime>
  <ScaleCrop>false</ScaleCrop>
  <LinksUpToDate>false</LinksUpToDate>
  <CharactersWithSpaces>241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2025-02-20T06:22:00Z</dcterms:created>
  <dc:creator>郝 鹏飞</dc:creator>
  <cp:lastModifiedBy>孙文强</cp:lastModifiedBy>
  <dcterms:modified xsi:type="dcterms:W3CDTF">2025-02-24T01:10:48Z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43651D9494234C78A1F74612071823E8_13</vt:lpwstr>
  </property>
</Properties>
</file>